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FB15E1" w:rsidRDefault="000600AE" w:rsidP="006D537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0"/>
          <w:szCs w:val="10"/>
          <w:lang w:eastAsia="ru-RU"/>
        </w:rPr>
      </w:pPr>
      <w:r w:rsidRPr="000600AE">
        <w:rPr>
          <w:rFonts w:ascii="Segoe UI" w:eastAsia="Times New Roman" w:hAnsi="Segoe UI" w:cs="Segoe UI"/>
          <w:b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0DD" w:rsidRPr="003329BD" w:rsidRDefault="00B540DD" w:rsidP="00B540DD">
      <w:pPr>
        <w:spacing w:after="28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329BD">
        <w:rPr>
          <w:rFonts w:ascii="Times New Roman" w:eastAsia="Times New Roman" w:hAnsi="Times New Roman" w:cs="Times New Roman"/>
          <w:b/>
          <w:sz w:val="28"/>
          <w:szCs w:val="28"/>
        </w:rPr>
        <w:t>Волгоградцы</w:t>
      </w:r>
      <w:proofErr w:type="spellEnd"/>
      <w:r w:rsidRPr="003329BD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стали чаще ставить земельные участки на кадастровый учет</w:t>
      </w:r>
    </w:p>
    <w:p w:rsidR="00B540DD" w:rsidRPr="007F7B03" w:rsidRDefault="00B540DD" w:rsidP="00B540DD">
      <w:pPr>
        <w:spacing w:after="28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7B03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итогам 2019 года количество земельных участков, поставленных на кадастровый учет в Волгоградской области, увеличилось более чем на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24,8 тыс.</w:t>
      </w:r>
      <w:r w:rsidRPr="007F7B0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540DD" w:rsidRPr="007F7B03" w:rsidRDefault="00B540DD" w:rsidP="00B540DD">
      <w:pPr>
        <w:spacing w:after="28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B03">
        <w:rPr>
          <w:rFonts w:ascii="Times New Roman" w:eastAsia="Times New Roman" w:hAnsi="Times New Roman" w:cs="Times New Roman"/>
          <w:b/>
          <w:sz w:val="28"/>
          <w:szCs w:val="28"/>
        </w:rPr>
        <w:t>На 1 января 2020 года в Едином государственном реестре недвижимости содержатся сведения о 933,6 тыс. земельных участков Волгоградской области, из них 236,9 тыс.  поставлены на кадастровый учет. За прошлый год количество учтенных земельных участков увеличилось более чем на 22,7 тыс. К началу 2020 года доля земельных участков, сведения о кадастровом учете которых содержатся в ЕГРН, составила 33 %.</w:t>
      </w:r>
    </w:p>
    <w:p w:rsidR="00B540DD" w:rsidRPr="007F7B03" w:rsidRDefault="00B540DD" w:rsidP="00B54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B03">
        <w:rPr>
          <w:rFonts w:ascii="Times New Roman" w:eastAsia="Times New Roman" w:hAnsi="Times New Roman" w:cs="Times New Roman"/>
          <w:sz w:val="28"/>
          <w:szCs w:val="28"/>
        </w:rPr>
        <w:t>Действующее законодательство не обязывает граждан ставить на кадастровый учет принадлежащие им земельные участки. Тем не менее, в прошлом году число поставленных на кадастровый учет земельных участков увеличилось на 22 704. На 1 января 2020 года доля земельных участков, сведения о кадастровом учете которых содержатся в ЕГРН, составила 33 %. Всего в ЕГРН содержатся сведения о 933 673 земельных участка.</w:t>
      </w:r>
    </w:p>
    <w:p w:rsidR="00B540DD" w:rsidRDefault="00B540DD" w:rsidP="00B54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постановки земельного участка на кадастровый учет в ЕГРН вносятся сведения о границах участка, категории земель, к которым отнесен земельный участок, виде разрешенного использования. Каждому учтенному земельному участку присваивается уникальный кадастровый номер, который позволяет идентифицировать объект и в дальнейшем проводить с ним различные операции и сделки как с индивидуально-определенной вещью. Наличие в ЕГРН сведений о земельном участке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позволяет защитить интересы владельца в случае земельных споров, а также правильно рассчитать налог на недвижимое имущество. </w:t>
      </w:r>
    </w:p>
    <w:p w:rsidR="00B540DD" w:rsidRDefault="00B540DD" w:rsidP="00B54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Кадастровая палата напоминает, что постановка недвижимости на кадастровый учет проводится на безвозмездной основе.</w:t>
      </w:r>
    </w:p>
    <w:p w:rsidR="00B540DD" w:rsidRPr="00856407" w:rsidRDefault="00B540DD" w:rsidP="00B54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407">
        <w:rPr>
          <w:rFonts w:ascii="Times New Roman" w:eastAsia="Times New Roman" w:hAnsi="Times New Roman" w:cs="Times New Roman"/>
          <w:sz w:val="28"/>
          <w:szCs w:val="28"/>
        </w:rPr>
        <w:t>При образовании нового земельного участка из земель государственной собственности необходимо обратиться в орган местного самоуправления, который в свою очередь обеспечивает формирование ЗУ.</w:t>
      </w:r>
    </w:p>
    <w:p w:rsidR="00B540DD" w:rsidRDefault="00B540DD" w:rsidP="00B54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проведения учетной процедуры при обращении в МФЦ составит не более 7 рабочих дней, при подаче документов в электронном виде – не более 5 рабочих дней. В прошлом году средний фактический срок государственного кадастрового учета составил 5 дней.</w:t>
      </w:r>
    </w:p>
    <w:p w:rsidR="00B540DD" w:rsidRDefault="00B540DD" w:rsidP="00B54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Завершающей процедурой в оформлении образованного земельного участка является регистрация. После получения права собственности владелец может распоряжаться принадлежащим ему земельным участком в полной мере. Регистрация права собственности при обращении в МФЦ проводится в срок, не превышающий 9 рабочих дней, в случае предоставления электронных документов с помощью сервисов – не дольше 7 рабочих дней. За проведение регистрации права собственности предусмотрена государственная пошлина.</w:t>
      </w:r>
    </w:p>
    <w:p w:rsidR="00B540DD" w:rsidRDefault="00B540DD" w:rsidP="00B540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Постановка нового земельного участка на кадастровый учет может проводиться одновременно с регистрацией права собственности в рамках единой учетно-регистрационной процедуры, в случае, если это предусмотрено законодательством. Например, если земельный участок образован в результате раздела существующего земельного участка. Срок единой учетно-регистрационной процедуры в этом случае составит не более 12 рабочих дней при подаче документов через МФЦ и не более 10 рабочих дней при использовании электронных сервисов. </w:t>
      </w:r>
    </w:p>
    <w:p w:rsidR="00B540DD" w:rsidRDefault="00B540DD" w:rsidP="00B540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Завершение учетно-регистрационных процедур удостоверяется выпиской из ЕГРН. Выписка сведений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необходима при проведении любых сделок с недвижимым имуществом. С помощью нового </w:t>
      </w:r>
      <w:hyperlink r:id="rId9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онлайн-сервиса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Федеральной кадастровой палаты выписку сведений об объекте недвижимости можно получить всего за несколько минут.</w:t>
      </w:r>
    </w:p>
    <w:p w:rsidR="00B540DD" w:rsidRDefault="00B540DD" w:rsidP="00B540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C94" w:rsidRPr="00176052" w:rsidRDefault="00DC4C94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6052">
        <w:rPr>
          <w:rFonts w:ascii="Times New Roman" w:hAnsi="Times New Roman" w:cs="Times New Roman"/>
          <w:sz w:val="18"/>
          <w:szCs w:val="18"/>
        </w:rPr>
        <w:t xml:space="preserve">Ответственный за взаимодействие </w:t>
      </w:r>
    </w:p>
    <w:p w:rsidR="00DC4C94" w:rsidRPr="00176052" w:rsidRDefault="00DC4C94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6052">
        <w:rPr>
          <w:rFonts w:ascii="Times New Roman" w:hAnsi="Times New Roman" w:cs="Times New Roman"/>
          <w:sz w:val="18"/>
          <w:szCs w:val="18"/>
        </w:rPr>
        <w:t>Кадастровой палаты</w:t>
      </w:r>
    </w:p>
    <w:p w:rsidR="00DC4C94" w:rsidRPr="00176052" w:rsidRDefault="00DC4C94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6052">
        <w:rPr>
          <w:rFonts w:ascii="Times New Roman" w:hAnsi="Times New Roman" w:cs="Times New Roman"/>
          <w:sz w:val="18"/>
          <w:szCs w:val="18"/>
        </w:rPr>
        <w:t xml:space="preserve">по Волгоградской области </w:t>
      </w:r>
    </w:p>
    <w:p w:rsidR="00AC4CCA" w:rsidRPr="00176052" w:rsidRDefault="00DC4C94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6052">
        <w:rPr>
          <w:rFonts w:ascii="Times New Roman" w:hAnsi="Times New Roman" w:cs="Times New Roman"/>
          <w:sz w:val="18"/>
          <w:szCs w:val="18"/>
        </w:rPr>
        <w:t xml:space="preserve">со средствами массовой информации                                                </w:t>
      </w:r>
      <w:r w:rsidR="00176052">
        <w:rPr>
          <w:rFonts w:ascii="Times New Roman" w:hAnsi="Times New Roman" w:cs="Times New Roman"/>
          <w:sz w:val="18"/>
          <w:szCs w:val="18"/>
        </w:rPr>
        <w:t xml:space="preserve">                </w:t>
      </w:r>
      <w:bookmarkStart w:id="1" w:name="_GoBack"/>
      <w:bookmarkEnd w:id="1"/>
      <w:r w:rsidRPr="00176052">
        <w:rPr>
          <w:rFonts w:ascii="Times New Roman" w:hAnsi="Times New Roman" w:cs="Times New Roman"/>
          <w:sz w:val="18"/>
          <w:szCs w:val="18"/>
        </w:rPr>
        <w:t xml:space="preserve">                                              Елена Золотарева </w:t>
      </w:r>
    </w:p>
    <w:sectPr w:rsidR="00AC4CCA" w:rsidRPr="00176052" w:rsidSect="00ED30C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D32" w:rsidRDefault="00CB4D32" w:rsidP="00ED30C5">
      <w:pPr>
        <w:spacing w:after="0" w:line="240" w:lineRule="auto"/>
      </w:pPr>
      <w:r>
        <w:separator/>
      </w:r>
    </w:p>
  </w:endnote>
  <w:endnote w:type="continuationSeparator" w:id="0">
    <w:p w:rsidR="00CB4D32" w:rsidRDefault="00CB4D32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D32" w:rsidRDefault="00CB4D32" w:rsidP="00ED30C5">
      <w:pPr>
        <w:spacing w:after="0" w:line="240" w:lineRule="auto"/>
      </w:pPr>
      <w:r>
        <w:separator/>
      </w:r>
    </w:p>
  </w:footnote>
  <w:footnote w:type="continuationSeparator" w:id="0">
    <w:p w:rsidR="00CB4D32" w:rsidRDefault="00CB4D32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5D10C9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D125D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1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9"/>
  </w:num>
  <w:num w:numId="11">
    <w:abstractNumId w:val="1"/>
  </w:num>
  <w:num w:numId="12">
    <w:abstractNumId w:val="38"/>
  </w:num>
  <w:num w:numId="13">
    <w:abstractNumId w:val="27"/>
  </w:num>
  <w:num w:numId="14">
    <w:abstractNumId w:val="33"/>
  </w:num>
  <w:num w:numId="15">
    <w:abstractNumId w:val="10"/>
  </w:num>
  <w:num w:numId="16">
    <w:abstractNumId w:val="32"/>
  </w:num>
  <w:num w:numId="17">
    <w:abstractNumId w:val="35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7"/>
  </w:num>
  <w:num w:numId="24">
    <w:abstractNumId w:val="15"/>
  </w:num>
  <w:num w:numId="25">
    <w:abstractNumId w:val="12"/>
  </w:num>
  <w:num w:numId="26">
    <w:abstractNumId w:val="41"/>
  </w:num>
  <w:num w:numId="27">
    <w:abstractNumId w:val="7"/>
  </w:num>
  <w:num w:numId="28">
    <w:abstractNumId w:val="0"/>
  </w:num>
  <w:num w:numId="29">
    <w:abstractNumId w:val="25"/>
  </w:num>
  <w:num w:numId="30">
    <w:abstractNumId w:val="34"/>
  </w:num>
  <w:num w:numId="31">
    <w:abstractNumId w:val="16"/>
  </w:num>
  <w:num w:numId="32">
    <w:abstractNumId w:val="30"/>
  </w:num>
  <w:num w:numId="33">
    <w:abstractNumId w:val="39"/>
  </w:num>
  <w:num w:numId="34">
    <w:abstractNumId w:val="17"/>
  </w:num>
  <w:num w:numId="35">
    <w:abstractNumId w:val="40"/>
  </w:num>
  <w:num w:numId="36">
    <w:abstractNumId w:val="9"/>
  </w:num>
  <w:num w:numId="37">
    <w:abstractNumId w:val="36"/>
  </w:num>
  <w:num w:numId="38">
    <w:abstractNumId w:val="26"/>
  </w:num>
  <w:num w:numId="39">
    <w:abstractNumId w:val="2"/>
  </w:num>
  <w:num w:numId="40">
    <w:abstractNumId w:val="19"/>
  </w:num>
  <w:num w:numId="41">
    <w:abstractNumId w:val="28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2CC6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0C9"/>
    <w:rsid w:val="005D15A7"/>
    <w:rsid w:val="005D404E"/>
    <w:rsid w:val="005F0355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454A"/>
    <w:rsid w:val="0077550B"/>
    <w:rsid w:val="00775911"/>
    <w:rsid w:val="007802E0"/>
    <w:rsid w:val="00780602"/>
    <w:rsid w:val="007844E1"/>
    <w:rsid w:val="007858E8"/>
    <w:rsid w:val="00785F42"/>
    <w:rsid w:val="007864DA"/>
    <w:rsid w:val="00790AC9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06E06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69EA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B4755"/>
    <w:rsid w:val="00CB4D32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5D3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540B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uiPriority w:val="99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v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9F81B-1290-4DD3-A33A-AD2618A1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3</cp:revision>
  <cp:lastPrinted>2019-10-04T07:27:00Z</cp:lastPrinted>
  <dcterms:created xsi:type="dcterms:W3CDTF">2020-04-09T12:09:00Z</dcterms:created>
  <dcterms:modified xsi:type="dcterms:W3CDTF">2020-04-09T12:13:00Z</dcterms:modified>
</cp:coreProperties>
</file>